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C48" w:rsidRPr="006D452C" w:rsidRDefault="00053C48" w:rsidP="00A1386E">
      <w:pPr>
        <w:pStyle w:val="ListParagraph"/>
        <w:rPr>
          <w:rFonts w:ascii="Sylfaen" w:hAnsi="Sylfaen"/>
        </w:rPr>
      </w:pPr>
    </w:p>
    <w:p w:rsidR="00A1386E" w:rsidRPr="006D452C" w:rsidRDefault="00A1386E" w:rsidP="00A1386E">
      <w:pPr>
        <w:pStyle w:val="ListParagraph"/>
        <w:numPr>
          <w:ilvl w:val="0"/>
          <w:numId w:val="1"/>
        </w:numPr>
        <w:rPr>
          <w:rFonts w:ascii="Sylfaen" w:hAnsi="Sylfaen"/>
        </w:rPr>
      </w:pPr>
      <w:r w:rsidRPr="006D452C">
        <w:rPr>
          <w:rFonts w:ascii="Sylfaen" w:hAnsi="Sylfaen"/>
        </w:rPr>
        <w:t xml:space="preserve">Continuation of </w:t>
      </w:r>
      <w:proofErr w:type="spellStart"/>
      <w:r w:rsidRPr="006D452C">
        <w:rPr>
          <w:rFonts w:ascii="Sylfaen" w:hAnsi="Sylfaen"/>
        </w:rPr>
        <w:t>PrEP</w:t>
      </w:r>
      <w:proofErr w:type="spellEnd"/>
      <w:r w:rsidRPr="006D452C">
        <w:rPr>
          <w:rFonts w:ascii="Sylfaen" w:hAnsi="Sylfaen"/>
        </w:rPr>
        <w:t xml:space="preserve"> Program </w:t>
      </w:r>
      <w:r w:rsidR="006D452C" w:rsidRPr="006D452C">
        <w:rPr>
          <w:rFonts w:ascii="Sylfaen" w:hAnsi="Sylfaen"/>
        </w:rPr>
        <w:t>– Duration</w:t>
      </w:r>
      <w:r w:rsidR="009E39D1" w:rsidRPr="006D452C">
        <w:rPr>
          <w:rFonts w:ascii="Sylfaen" w:hAnsi="Sylfaen"/>
        </w:rPr>
        <w:t xml:space="preserve"> 10 months </w:t>
      </w:r>
    </w:p>
    <w:p w:rsidR="00A1386E" w:rsidRPr="006D452C" w:rsidRDefault="0054318E" w:rsidP="00A1386E">
      <w:pPr>
        <w:pStyle w:val="ListParagraph"/>
        <w:rPr>
          <w:rFonts w:ascii="Sylfaen" w:hAnsi="Sylfaen"/>
        </w:rPr>
      </w:pPr>
      <w:r>
        <w:rPr>
          <w:rFonts w:ascii="Sylfaen" w:hAnsi="Sylfaen"/>
        </w:rPr>
        <w:t>Requested amount 140,000</w:t>
      </w:r>
      <w:r w:rsidR="00A1386E" w:rsidRPr="006D452C">
        <w:rPr>
          <w:rFonts w:ascii="Sylfaen" w:hAnsi="Sylfaen"/>
        </w:rPr>
        <w:t xml:space="preserve"> USD</w:t>
      </w:r>
      <w:bookmarkStart w:id="0" w:name="_GoBack"/>
      <w:bookmarkEnd w:id="0"/>
    </w:p>
    <w:p w:rsidR="008A4EAF" w:rsidRPr="006D452C" w:rsidRDefault="008A4EAF" w:rsidP="00A1386E">
      <w:pPr>
        <w:pStyle w:val="ListParagraph"/>
        <w:rPr>
          <w:rFonts w:ascii="Sylfaen" w:hAnsi="Sylfaen"/>
        </w:rPr>
      </w:pPr>
      <w:r w:rsidRPr="006D452C">
        <w:rPr>
          <w:rFonts w:ascii="Sylfaen" w:hAnsi="Sylfaen"/>
        </w:rPr>
        <w:t xml:space="preserve">The amount is requested to ensure continuation of the current pilot program as well as to expand it to regions (Batumi, Adjara and Kutaisi, </w:t>
      </w:r>
      <w:proofErr w:type="spellStart"/>
      <w:r w:rsidRPr="006D452C">
        <w:rPr>
          <w:rFonts w:ascii="Sylfaen" w:hAnsi="Sylfaen"/>
        </w:rPr>
        <w:t>Imaret</w:t>
      </w:r>
      <w:r w:rsidR="00DB7DE0">
        <w:rPr>
          <w:rFonts w:ascii="Sylfaen" w:hAnsi="Sylfaen"/>
        </w:rPr>
        <w:t>i</w:t>
      </w:r>
      <w:proofErr w:type="spellEnd"/>
      <w:r w:rsidRPr="006D452C">
        <w:rPr>
          <w:rFonts w:ascii="Sylfaen" w:hAnsi="Sylfaen"/>
        </w:rPr>
        <w:t>)</w:t>
      </w:r>
      <w:r w:rsidR="009E39D1" w:rsidRPr="006D452C">
        <w:rPr>
          <w:rFonts w:ascii="Sylfaen" w:hAnsi="Sylfaen"/>
        </w:rPr>
        <w:t>. The cost inputs and categories will be the same as in the current pilot program.</w:t>
      </w:r>
      <w:r w:rsidRPr="006D452C">
        <w:rPr>
          <w:rFonts w:ascii="Sylfaen" w:hAnsi="Sylfaen"/>
        </w:rPr>
        <w:t xml:space="preserve"> </w:t>
      </w:r>
    </w:p>
    <w:p w:rsidR="008A4EAF" w:rsidRPr="006D452C" w:rsidRDefault="008A4EAF" w:rsidP="00A1386E">
      <w:pPr>
        <w:pStyle w:val="ListParagraph"/>
        <w:rPr>
          <w:rFonts w:ascii="Sylfaen" w:hAnsi="Sylfaen"/>
        </w:rPr>
      </w:pPr>
      <w:r w:rsidRPr="006D452C">
        <w:rPr>
          <w:rFonts w:ascii="Sylfaen" w:hAnsi="Sylfaen"/>
        </w:rPr>
        <w:t>The estimated number of beneficiaries</w:t>
      </w:r>
      <w:r w:rsidR="00DB7DE0">
        <w:rPr>
          <w:rFonts w:ascii="Sylfaen" w:hAnsi="Sylfaen"/>
        </w:rPr>
        <w:t xml:space="preserve"> by July 1,</w:t>
      </w:r>
      <w:r w:rsidR="00AA27D8">
        <w:rPr>
          <w:rFonts w:ascii="Sylfaen" w:hAnsi="Sylfaen"/>
        </w:rPr>
        <w:t xml:space="preserve"> </w:t>
      </w:r>
      <w:r w:rsidR="00DB7DE0">
        <w:rPr>
          <w:rFonts w:ascii="Sylfaen" w:hAnsi="Sylfaen"/>
        </w:rPr>
        <w:t>2019</w:t>
      </w:r>
      <w:r w:rsidRPr="006D452C">
        <w:rPr>
          <w:rFonts w:ascii="Sylfaen" w:hAnsi="Sylfaen"/>
        </w:rPr>
        <w:t xml:space="preserve"> - 200</w:t>
      </w:r>
    </w:p>
    <w:p w:rsidR="00A1386E" w:rsidRDefault="00A1386E" w:rsidP="00A1386E">
      <w:pPr>
        <w:pStyle w:val="ListParagraph"/>
        <w:rPr>
          <w:rFonts w:ascii="Sylfaen" w:hAnsi="Sylfaen"/>
        </w:rPr>
      </w:pPr>
    </w:p>
    <w:p w:rsidR="00A74575" w:rsidRDefault="00A74575" w:rsidP="00BE1B0A">
      <w:pPr>
        <w:pStyle w:val="ListParagraph"/>
        <w:pBdr>
          <w:top w:val="single" w:sz="4" w:space="1" w:color="auto"/>
          <w:left w:val="single" w:sz="4" w:space="21" w:color="auto"/>
          <w:bottom w:val="single" w:sz="4" w:space="1" w:color="auto"/>
          <w:right w:val="single" w:sz="4" w:space="4" w:color="auto"/>
        </w:pBdr>
        <w:shd w:val="clear" w:color="auto" w:fill="FFF2CC" w:themeFill="accent4" w:themeFillTint="33"/>
        <w:ind w:left="360"/>
        <w:rPr>
          <w:rFonts w:ascii="Sylfaen" w:hAnsi="Sylfaen"/>
        </w:rPr>
      </w:pPr>
      <w:r w:rsidRPr="00A74575">
        <w:rPr>
          <w:rFonts w:ascii="Sylfaen" w:hAnsi="Sylfaen"/>
          <w:b/>
          <w:color w:val="C00000"/>
        </w:rPr>
        <w:t>CT information requests:</w:t>
      </w:r>
      <w:r>
        <w:rPr>
          <w:rFonts w:ascii="Sylfaen" w:hAnsi="Sylfaen"/>
          <w:color w:val="C00000"/>
        </w:rPr>
        <w:t xml:space="preserve"> </w:t>
      </w:r>
      <w:r>
        <w:rPr>
          <w:rFonts w:ascii="Sylfaen" w:hAnsi="Sylfaen"/>
        </w:rPr>
        <w:t xml:space="preserve">We are pleased to see that you are planning the further roll-out of the </w:t>
      </w:r>
      <w:proofErr w:type="spellStart"/>
      <w:r>
        <w:rPr>
          <w:rFonts w:ascii="Sylfaen" w:hAnsi="Sylfaen"/>
        </w:rPr>
        <w:t>PrEP</w:t>
      </w:r>
      <w:proofErr w:type="spellEnd"/>
      <w:r>
        <w:rPr>
          <w:rFonts w:ascii="Sylfaen" w:hAnsi="Sylfaen"/>
        </w:rPr>
        <w:t xml:space="preserve"> programme. We would like to better understand the following aspects of this second phase:</w:t>
      </w:r>
    </w:p>
    <w:p w:rsidR="00A74575" w:rsidRPr="00AD0629" w:rsidRDefault="00A74575" w:rsidP="00BE1B0A">
      <w:pPr>
        <w:pStyle w:val="ListParagraph"/>
        <w:numPr>
          <w:ilvl w:val="0"/>
          <w:numId w:val="4"/>
        </w:numPr>
        <w:pBdr>
          <w:top w:val="single" w:sz="4" w:space="1" w:color="auto"/>
          <w:left w:val="single" w:sz="4" w:space="21"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 xml:space="preserve">Could you please clarify whether you are planning to use the same approaches as in the first phase or are there any changes in the implementation plan. </w:t>
      </w:r>
    </w:p>
    <w:p w:rsidR="00A74575" w:rsidRPr="00AD0629" w:rsidRDefault="00A74575" w:rsidP="00BE1B0A">
      <w:pPr>
        <w:pStyle w:val="ListParagraph"/>
        <w:numPr>
          <w:ilvl w:val="0"/>
          <w:numId w:val="4"/>
        </w:numPr>
        <w:pBdr>
          <w:top w:val="single" w:sz="4" w:space="1" w:color="auto"/>
          <w:left w:val="single" w:sz="4" w:space="21"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 xml:space="preserve">Could you please clarify how the targets were estimated? Are the 200 beneficiaries </w:t>
      </w:r>
      <w:r w:rsidRPr="00AD0629">
        <w:rPr>
          <w:rFonts w:ascii="Sylfaen" w:hAnsi="Sylfaen"/>
          <w:i/>
        </w:rPr>
        <w:t>additional</w:t>
      </w:r>
      <w:r w:rsidRPr="00AD0629">
        <w:rPr>
          <w:rFonts w:ascii="Sylfaen" w:hAnsi="Sylfaen"/>
        </w:rPr>
        <w:t xml:space="preserve"> to the current 100 planned to be reached. Could you please </w:t>
      </w:r>
      <w:r w:rsidR="00AD0629" w:rsidRPr="00AD0629">
        <w:rPr>
          <w:rFonts w:ascii="Sylfaen" w:hAnsi="Sylfaen"/>
        </w:rPr>
        <w:t xml:space="preserve">explain the planned costs vs. targets? </w:t>
      </w:r>
    </w:p>
    <w:p w:rsidR="00A74575" w:rsidRDefault="00AD0629" w:rsidP="00BE1B0A">
      <w:pPr>
        <w:pStyle w:val="ListParagraph"/>
        <w:numPr>
          <w:ilvl w:val="0"/>
          <w:numId w:val="4"/>
        </w:numPr>
        <w:pBdr>
          <w:top w:val="single" w:sz="4" w:space="1" w:color="auto"/>
          <w:left w:val="single" w:sz="4" w:space="21" w:color="auto"/>
          <w:bottom w:val="single" w:sz="4" w:space="1" w:color="auto"/>
          <w:right w:val="single" w:sz="4" w:space="4" w:color="auto"/>
        </w:pBdr>
        <w:shd w:val="clear" w:color="auto" w:fill="FFF2CC" w:themeFill="accent4" w:themeFillTint="33"/>
        <w:rPr>
          <w:rFonts w:ascii="Sylfaen" w:hAnsi="Sylfaen"/>
        </w:rPr>
      </w:pPr>
      <w:r w:rsidRPr="00AD0629">
        <w:rPr>
          <w:rFonts w:ascii="Sylfaen" w:hAnsi="Sylfaen"/>
        </w:rPr>
        <w:t xml:space="preserve">What is the reason to wait until July to start the roll-out of the next phase of the programme?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b/>
          <w:i/>
        </w:rPr>
      </w:pPr>
      <w:r w:rsidRPr="00D335CD">
        <w:rPr>
          <w:rFonts w:ascii="Sylfaen" w:hAnsi="Sylfaen"/>
          <w:b/>
          <w:i/>
        </w:rPr>
        <w:t xml:space="preserve">Could you please clarify whether you are planning to use the same approaches as in the first phase or are there any changes in the implementation plan. </w:t>
      </w:r>
    </w:p>
    <w:p w:rsidR="00DB7DE0" w:rsidRDefault="00DB7DE0"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Pr>
          <w:rFonts w:ascii="Sylfaen" w:hAnsi="Sylfaen"/>
        </w:rPr>
        <w:t xml:space="preserve">The proposed amount is requested to ensure the continuation of the </w:t>
      </w:r>
      <w:proofErr w:type="spellStart"/>
      <w:r>
        <w:rPr>
          <w:rFonts w:ascii="Sylfaen" w:hAnsi="Sylfaen"/>
        </w:rPr>
        <w:t>PrEP</w:t>
      </w:r>
      <w:proofErr w:type="spellEnd"/>
      <w:r>
        <w:rPr>
          <w:rFonts w:ascii="Sylfaen" w:hAnsi="Sylfaen"/>
        </w:rPr>
        <w:t xml:space="preserve"> intervention initiated for MSM community in September 2017. For the next 10 month implementation period no changes will be introduced in the clinical protocol of the program and the approach of the daily </w:t>
      </w:r>
      <w:proofErr w:type="spellStart"/>
      <w:r>
        <w:rPr>
          <w:rFonts w:ascii="Sylfaen" w:hAnsi="Sylfaen"/>
        </w:rPr>
        <w:t>PrEP</w:t>
      </w:r>
      <w:proofErr w:type="spellEnd"/>
      <w:r>
        <w:rPr>
          <w:rFonts w:ascii="Sylfaen" w:hAnsi="Sylfaen"/>
        </w:rPr>
        <w:t xml:space="preserve"> will be the main implementation scheme, although the demand for the daily </w:t>
      </w:r>
      <w:proofErr w:type="spellStart"/>
      <w:r>
        <w:rPr>
          <w:rFonts w:ascii="Sylfaen" w:hAnsi="Sylfaen"/>
        </w:rPr>
        <w:t>PrEP</w:t>
      </w:r>
      <w:proofErr w:type="spellEnd"/>
      <w:r>
        <w:rPr>
          <w:rFonts w:ascii="Sylfaen" w:hAnsi="Sylfaen"/>
        </w:rPr>
        <w:t xml:space="preserve"> will be investigated among the community members and if the need will be identified, during this 10 months the community and the clinical experts will elaborate relevant protocol for so called On-Demand </w:t>
      </w:r>
      <w:proofErr w:type="spellStart"/>
      <w:r>
        <w:rPr>
          <w:rFonts w:ascii="Sylfaen" w:hAnsi="Sylfaen"/>
        </w:rPr>
        <w:t>PrEP.</w:t>
      </w:r>
      <w:proofErr w:type="spellEnd"/>
      <w:r>
        <w:rPr>
          <w:rFonts w:ascii="Sylfaen" w:hAnsi="Sylfaen"/>
        </w:rPr>
        <w:t xml:space="preserve">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Latest research data proves that maximum rectal tissue concentration is reached after only 2 doses of TDF/FTC, thus on-demand </w:t>
      </w:r>
      <w:proofErr w:type="spellStart"/>
      <w:r w:rsidRPr="00D335CD">
        <w:rPr>
          <w:rFonts w:ascii="Sylfaen" w:hAnsi="Sylfaen"/>
        </w:rPr>
        <w:t>PrEP</w:t>
      </w:r>
      <w:proofErr w:type="spellEnd"/>
      <w:r w:rsidRPr="00D335CD">
        <w:rPr>
          <w:rFonts w:ascii="Sylfaen" w:hAnsi="Sylfaen"/>
        </w:rPr>
        <w:t xml:space="preserve"> can be considered as an effective option. Programme observation shows that people have “seasons of risk”, so introduction of intermittent </w:t>
      </w:r>
      <w:proofErr w:type="spellStart"/>
      <w:r w:rsidRPr="00D335CD">
        <w:rPr>
          <w:rFonts w:ascii="Sylfaen" w:hAnsi="Sylfaen"/>
        </w:rPr>
        <w:t>PrEP</w:t>
      </w:r>
      <w:proofErr w:type="spellEnd"/>
      <w:r w:rsidRPr="00D335CD">
        <w:rPr>
          <w:rFonts w:ascii="Sylfaen" w:hAnsi="Sylfaen"/>
        </w:rPr>
        <w:t xml:space="preserve">, in the sense of taking breaks from </w:t>
      </w:r>
      <w:proofErr w:type="spellStart"/>
      <w:r w:rsidRPr="00D335CD">
        <w:rPr>
          <w:rFonts w:ascii="Sylfaen" w:hAnsi="Sylfaen"/>
        </w:rPr>
        <w:t>PrEP</w:t>
      </w:r>
      <w:proofErr w:type="spellEnd"/>
      <w:r w:rsidRPr="00D335CD">
        <w:rPr>
          <w:rFonts w:ascii="Sylfaen" w:hAnsi="Sylfaen"/>
        </w:rPr>
        <w:t xml:space="preserve"> when people are at no risk, but being able to start using it again if they start being at risk again, is considered. For example In the IPERGAY trial, the most common sort of pattern was a few months on, a couple of months off, then back again. It should not be regarded as a failure of adherence if the person judges that they do not need </w:t>
      </w:r>
      <w:proofErr w:type="spellStart"/>
      <w:r w:rsidRPr="00D335CD">
        <w:rPr>
          <w:rFonts w:ascii="Sylfaen" w:hAnsi="Sylfaen"/>
        </w:rPr>
        <w:t>PrEP</w:t>
      </w:r>
      <w:proofErr w:type="spellEnd"/>
      <w:r w:rsidRPr="00D335CD">
        <w:rPr>
          <w:rFonts w:ascii="Sylfaen" w:hAnsi="Sylfaen"/>
        </w:rPr>
        <w:t xml:space="preserve"> for a while.</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Based on the project data there yet was no single case, with kidney problems, related to creatinine clearance rates. As the median age of enrolled </w:t>
      </w:r>
      <w:proofErr w:type="spellStart"/>
      <w:r w:rsidRPr="00D335CD">
        <w:rPr>
          <w:rFonts w:ascii="Sylfaen" w:hAnsi="Sylfaen"/>
        </w:rPr>
        <w:t>PrEP</w:t>
      </w:r>
      <w:proofErr w:type="spellEnd"/>
      <w:r w:rsidRPr="00D335CD">
        <w:rPr>
          <w:rFonts w:ascii="Sylfaen" w:hAnsi="Sylfaen"/>
        </w:rPr>
        <w:t xml:space="preserve"> participants is 29 years (with youngest 19 years and oldest 42 years old), while expected age of kidney related problems that uptake of </w:t>
      </w:r>
      <w:proofErr w:type="spellStart"/>
      <w:r w:rsidRPr="00D335CD">
        <w:rPr>
          <w:rFonts w:ascii="Sylfaen" w:hAnsi="Sylfaen"/>
        </w:rPr>
        <w:t>PrEP</w:t>
      </w:r>
      <w:proofErr w:type="spellEnd"/>
      <w:r w:rsidRPr="00D335CD">
        <w:rPr>
          <w:rFonts w:ascii="Sylfaen" w:hAnsi="Sylfaen"/>
        </w:rPr>
        <w:t xml:space="preserve"> can negatively affect is 49 or older, we will rethink the clinical eligibility criteria for enrolment. It will simplify the procedures, however we still will provide close monitoring of creatinine clearance in accordance to clinical protocol.   </w:t>
      </w:r>
      <w:r w:rsidRPr="00D335CD">
        <w:rPr>
          <w:rFonts w:ascii="Sylfaen" w:hAnsi="Sylfaen"/>
        </w:rPr>
        <w:tab/>
        <w:t xml:space="preserve">  </w:t>
      </w:r>
    </w:p>
    <w:p w:rsidR="00DB7DE0" w:rsidRPr="00305664" w:rsidRDefault="00DB7DE0"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lang w:val="ka-GE"/>
        </w:rPr>
      </w:pPr>
      <w:r>
        <w:rPr>
          <w:rFonts w:ascii="Sylfaen" w:hAnsi="Sylfaen"/>
        </w:rPr>
        <w:lastRenderedPageBreak/>
        <w:t xml:space="preserve">As the community organization has identified the provision of the </w:t>
      </w:r>
      <w:proofErr w:type="spellStart"/>
      <w:r>
        <w:rPr>
          <w:rFonts w:ascii="Sylfaen" w:hAnsi="Sylfaen"/>
        </w:rPr>
        <w:t>PrEP</w:t>
      </w:r>
      <w:proofErr w:type="spellEnd"/>
      <w:r>
        <w:rPr>
          <w:rFonts w:ascii="Sylfaen" w:hAnsi="Sylfaen"/>
        </w:rPr>
        <w:t xml:space="preserve"> clinical services at the Clinical facility </w:t>
      </w:r>
      <w:r w:rsidR="00305664">
        <w:rPr>
          <w:rFonts w:ascii="Sylfaen" w:hAnsi="Sylfaen"/>
        </w:rPr>
        <w:t xml:space="preserve">only as barrier for the program implementation during </w:t>
      </w:r>
      <w:r>
        <w:rPr>
          <w:rFonts w:ascii="Sylfaen" w:hAnsi="Sylfaen"/>
        </w:rPr>
        <w:t xml:space="preserve">the next implementation phase of the </w:t>
      </w:r>
      <w:proofErr w:type="spellStart"/>
      <w:r>
        <w:rPr>
          <w:rFonts w:ascii="Sylfaen" w:hAnsi="Sylfaen"/>
        </w:rPr>
        <w:t>PrEP</w:t>
      </w:r>
      <w:proofErr w:type="spellEnd"/>
      <w:r>
        <w:rPr>
          <w:rFonts w:ascii="Sylfaen" w:hAnsi="Sylfaen"/>
        </w:rPr>
        <w:t xml:space="preserve"> (10 months) we will </w:t>
      </w:r>
      <w:r w:rsidR="00305664">
        <w:rPr>
          <w:rFonts w:ascii="Sylfaen" w:hAnsi="Sylfaen"/>
        </w:rPr>
        <w:t xml:space="preserve">bring the clinical services closer to the community with having on duty physician at the CBO site and organizing blood samples transportation logistics for laboratory testing. </w:t>
      </w:r>
    </w:p>
    <w:p w:rsidR="00305664"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Approach of same day </w:t>
      </w:r>
      <w:proofErr w:type="spellStart"/>
      <w:r w:rsidRPr="00D335CD">
        <w:rPr>
          <w:rFonts w:ascii="Sylfaen" w:hAnsi="Sylfaen"/>
        </w:rPr>
        <w:t>PrEP</w:t>
      </w:r>
      <w:proofErr w:type="spellEnd"/>
      <w:r w:rsidRPr="00D335CD">
        <w:rPr>
          <w:rFonts w:ascii="Sylfaen" w:hAnsi="Sylfaen"/>
        </w:rPr>
        <w:t xml:space="preserve"> prescription and provision is also considered to be introduced. For now there is possible a several days interval between screening for eligibility and prescription/provision of </w:t>
      </w:r>
      <w:proofErr w:type="spellStart"/>
      <w:r w:rsidRPr="00D335CD">
        <w:rPr>
          <w:rFonts w:ascii="Sylfaen" w:hAnsi="Sylfaen"/>
        </w:rPr>
        <w:t>PrEP</w:t>
      </w:r>
      <w:proofErr w:type="spellEnd"/>
      <w:r w:rsidRPr="00D335CD">
        <w:rPr>
          <w:rFonts w:ascii="Sylfaen" w:hAnsi="Sylfaen"/>
        </w:rPr>
        <w:t xml:space="preserve"> medications. </w:t>
      </w:r>
    </w:p>
    <w:p w:rsidR="00305664"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The issue is, what happens if someone has an HIV risk exposure in between taking their test and starting </w:t>
      </w:r>
      <w:proofErr w:type="spellStart"/>
      <w:r w:rsidRPr="00D335CD">
        <w:rPr>
          <w:rFonts w:ascii="Sylfaen" w:hAnsi="Sylfaen"/>
        </w:rPr>
        <w:t>PrEP</w:t>
      </w:r>
      <w:proofErr w:type="spellEnd"/>
      <w:r w:rsidRPr="00D335CD">
        <w:rPr>
          <w:rFonts w:ascii="Sylfaen" w:hAnsi="Sylfaen"/>
        </w:rPr>
        <w:t xml:space="preserve"> – and keeps on doing it. In this case to postpone enrolment is not an option, as long as person is at extremely high risk. Thus taking into consideration best practises of some </w:t>
      </w:r>
      <w:proofErr w:type="spellStart"/>
      <w:r w:rsidRPr="00D335CD">
        <w:rPr>
          <w:rFonts w:ascii="Sylfaen" w:hAnsi="Sylfaen"/>
        </w:rPr>
        <w:t>PrEP</w:t>
      </w:r>
      <w:proofErr w:type="spellEnd"/>
      <w:r w:rsidRPr="00D335CD">
        <w:rPr>
          <w:rFonts w:ascii="Sylfaen" w:hAnsi="Sylfaen"/>
        </w:rPr>
        <w:t xml:space="preserve"> trials, e.g. PROUD Study. To provide people </w:t>
      </w:r>
      <w:proofErr w:type="spellStart"/>
      <w:r w:rsidRPr="00D335CD">
        <w:rPr>
          <w:rFonts w:ascii="Sylfaen" w:hAnsi="Sylfaen"/>
        </w:rPr>
        <w:t>PrEP</w:t>
      </w:r>
      <w:proofErr w:type="spellEnd"/>
      <w:r w:rsidRPr="00D335CD">
        <w:rPr>
          <w:rFonts w:ascii="Sylfaen" w:hAnsi="Sylfaen"/>
        </w:rPr>
        <w:t xml:space="preserve"> on their first appointment: person walked out of the clinic with </w:t>
      </w:r>
      <w:proofErr w:type="spellStart"/>
      <w:r w:rsidRPr="00D335CD">
        <w:rPr>
          <w:rFonts w:ascii="Sylfaen" w:hAnsi="Sylfaen"/>
        </w:rPr>
        <w:t>PrEP</w:t>
      </w:r>
      <w:proofErr w:type="spellEnd"/>
      <w:r w:rsidRPr="00D335CD">
        <w:rPr>
          <w:rFonts w:ascii="Sylfaen" w:hAnsi="Sylfaen"/>
        </w:rPr>
        <w:t xml:space="preserve"> the same day he/she took the test.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It is planned to change the approach of prioritising purely in terms of age. As far as individual people are concerned, the association of age with risk is dependent entirely on other variables – number of partners, condom use, relationship status, etc. There are some highly at-risk older men, e.g. ones just out of a relationship or ne</w:t>
      </w:r>
      <w:r>
        <w:rPr>
          <w:rFonts w:ascii="Sylfaen" w:hAnsi="Sylfaen"/>
        </w:rPr>
        <w:t>w to exploring their sexuality.</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As it was initially considered it is planned to increase role of community organization(s), we consider to transfer </w:t>
      </w:r>
      <w:proofErr w:type="spellStart"/>
      <w:r w:rsidRPr="00D335CD">
        <w:rPr>
          <w:rFonts w:ascii="Sylfaen" w:hAnsi="Sylfaen"/>
        </w:rPr>
        <w:t>PrEP</w:t>
      </w:r>
      <w:proofErr w:type="spellEnd"/>
      <w:r w:rsidRPr="00D335CD">
        <w:rPr>
          <w:rFonts w:ascii="Sylfaen" w:hAnsi="Sylfaen"/>
        </w:rPr>
        <w:t xml:space="preserve"> medication prescription and provision </w:t>
      </w:r>
      <w:r>
        <w:rPr>
          <w:rFonts w:ascii="Sylfaen" w:hAnsi="Sylfaen"/>
        </w:rPr>
        <w:t xml:space="preserve">in the community organization.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Use of an online approaches for </w:t>
      </w:r>
      <w:proofErr w:type="spellStart"/>
      <w:r w:rsidRPr="00D335CD">
        <w:rPr>
          <w:rFonts w:ascii="Sylfaen" w:hAnsi="Sylfaen"/>
        </w:rPr>
        <w:t>PrEP</w:t>
      </w:r>
      <w:proofErr w:type="spellEnd"/>
      <w:r w:rsidRPr="00D335CD">
        <w:rPr>
          <w:rFonts w:ascii="Sylfaen" w:hAnsi="Sylfaen"/>
        </w:rPr>
        <w:t xml:space="preserve"> provision is widely considered. First of all assessment of risk behaviour and eligibility criteria can be done online, by people themselves. Example: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http://www.ispreprightforme.com/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A long as most of individuals have a discomfort and identify frequent visits as a barrier, it is planned to use online approaches for risk reduction counselling, adherence counselling and other </w:t>
      </w:r>
      <w:r>
        <w:rPr>
          <w:rFonts w:ascii="Sylfaen" w:hAnsi="Sylfaen"/>
        </w:rPr>
        <w:t xml:space="preserve">social support interventions.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b/>
          <w:i/>
        </w:rPr>
      </w:pPr>
      <w:r w:rsidRPr="00D335CD">
        <w:rPr>
          <w:rFonts w:ascii="Sylfaen" w:hAnsi="Sylfaen"/>
        </w:rPr>
        <w:t xml:space="preserve">-         </w:t>
      </w:r>
      <w:r w:rsidRPr="00D335CD">
        <w:rPr>
          <w:rFonts w:ascii="Sylfaen" w:hAnsi="Sylfaen"/>
          <w:b/>
          <w:i/>
        </w:rPr>
        <w:t xml:space="preserve">Could you please clarify how the targets were estimated? Are the 200 beneficiaries additional to the current 100 planned to be reached. Could you please explain the planned costs vs. targets?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200 beneficiaries are total number. It means that 100 additional participants, will be enrolled in next phase. However if we will consider on-demand </w:t>
      </w:r>
      <w:proofErr w:type="spellStart"/>
      <w:r w:rsidRPr="00D335CD">
        <w:rPr>
          <w:rFonts w:ascii="Sylfaen" w:hAnsi="Sylfaen"/>
        </w:rPr>
        <w:t>PrEP</w:t>
      </w:r>
      <w:proofErr w:type="spellEnd"/>
      <w:r w:rsidRPr="00D335CD">
        <w:rPr>
          <w:rFonts w:ascii="Sylfaen" w:hAnsi="Sylfaen"/>
        </w:rPr>
        <w:t xml:space="preserve"> than estimated numbers will be different, taking into account that enrolled individual will not undergo all visits and services considered for </w:t>
      </w:r>
      <w:proofErr w:type="spellStart"/>
      <w:r w:rsidRPr="00D335CD">
        <w:rPr>
          <w:rFonts w:ascii="Sylfaen" w:hAnsi="Sylfaen"/>
        </w:rPr>
        <w:t>PrEP</w:t>
      </w:r>
      <w:proofErr w:type="spellEnd"/>
      <w:r w:rsidRPr="00D335CD">
        <w:rPr>
          <w:rFonts w:ascii="Sylfaen" w:hAnsi="Sylfaen"/>
        </w:rPr>
        <w:t xml:space="preserve"> uptake during a whole year, and one person can be</w:t>
      </w:r>
      <w:r>
        <w:rPr>
          <w:rFonts w:ascii="Sylfaen" w:hAnsi="Sylfaen"/>
        </w:rPr>
        <w:t xml:space="preserve"> in and out for several times. </w:t>
      </w:r>
    </w:p>
    <w:p w:rsidR="00D335CD" w:rsidRP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b/>
          <w:i/>
        </w:rPr>
      </w:pPr>
      <w:r w:rsidRPr="00D335CD">
        <w:rPr>
          <w:rFonts w:ascii="Sylfaen" w:hAnsi="Sylfaen"/>
          <w:b/>
          <w:i/>
        </w:rPr>
        <w:t xml:space="preserve">-         What is the reason to wait until July to start the roll-out of the next phase of the programme? </w:t>
      </w:r>
    </w:p>
    <w:p w:rsidR="00D335CD" w:rsidRDefault="00D335CD" w:rsidP="00D335CD">
      <w:pPr>
        <w:pBdr>
          <w:top w:val="single" w:sz="4" w:space="1" w:color="auto"/>
          <w:left w:val="single" w:sz="4" w:space="4" w:color="auto"/>
          <w:bottom w:val="single" w:sz="4" w:space="1" w:color="auto"/>
          <w:right w:val="single" w:sz="4" w:space="4" w:color="auto"/>
        </w:pBdr>
        <w:shd w:val="clear" w:color="auto" w:fill="9CC2E5" w:themeFill="accent1" w:themeFillTint="99"/>
        <w:rPr>
          <w:rFonts w:ascii="Sylfaen" w:hAnsi="Sylfaen"/>
        </w:rPr>
      </w:pPr>
      <w:r w:rsidRPr="00D335CD">
        <w:rPr>
          <w:rFonts w:ascii="Sylfaen" w:hAnsi="Sylfaen"/>
        </w:rPr>
        <w:t xml:space="preserve">Existing ongoing </w:t>
      </w:r>
      <w:proofErr w:type="spellStart"/>
      <w:r w:rsidRPr="00D335CD">
        <w:rPr>
          <w:rFonts w:ascii="Sylfaen" w:hAnsi="Sylfaen"/>
        </w:rPr>
        <w:t>PrEP</w:t>
      </w:r>
      <w:proofErr w:type="spellEnd"/>
      <w:r w:rsidRPr="00D335CD">
        <w:rPr>
          <w:rFonts w:ascii="Sylfaen" w:hAnsi="Sylfaen"/>
        </w:rPr>
        <w:t xml:space="preserve"> pilot projects’ timeframe is August 2017 - June 2018. So the reason behind starting second phase since July is to wait until the end of the project, to have possibility to fully consider all observations, challenges and achievements and plan next phase accordingly.</w:t>
      </w:r>
    </w:p>
    <w:p w:rsidR="00D112CD" w:rsidRDefault="00D112CD" w:rsidP="00084326">
      <w:pPr>
        <w:shd w:val="clear" w:color="auto" w:fill="FFFFFF"/>
        <w:spacing w:after="0" w:line="240" w:lineRule="auto"/>
        <w:rPr>
          <w:rFonts w:ascii="Arial" w:eastAsia="Times New Roman" w:hAnsi="Arial" w:cs="Arial"/>
          <w:color w:val="222222"/>
          <w:sz w:val="19"/>
          <w:szCs w:val="19"/>
          <w:lang w:eastAsia="en-GB"/>
        </w:rPr>
      </w:pPr>
      <w:r>
        <w:rPr>
          <w:rFonts w:ascii="Arial" w:eastAsia="Times New Roman" w:hAnsi="Arial" w:cs="Arial"/>
          <w:color w:val="222222"/>
          <w:sz w:val="19"/>
          <w:szCs w:val="19"/>
          <w:lang w:eastAsia="en-GB"/>
        </w:rPr>
        <w:lastRenderedPageBreak/>
        <w:t>Supporting evidences</w:t>
      </w:r>
      <w:r w:rsidR="002F3948">
        <w:rPr>
          <w:rFonts w:ascii="Arial" w:eastAsia="Times New Roman" w:hAnsi="Arial" w:cs="Arial"/>
          <w:color w:val="222222"/>
          <w:sz w:val="19"/>
          <w:szCs w:val="19"/>
          <w:lang w:eastAsia="en-GB"/>
        </w:rPr>
        <w:t xml:space="preserve"> for On-Demand </w:t>
      </w:r>
      <w:proofErr w:type="spellStart"/>
      <w:r w:rsidR="002F3948">
        <w:rPr>
          <w:rFonts w:ascii="Arial" w:eastAsia="Times New Roman" w:hAnsi="Arial" w:cs="Arial"/>
          <w:color w:val="222222"/>
          <w:sz w:val="19"/>
          <w:szCs w:val="19"/>
          <w:lang w:eastAsia="en-GB"/>
        </w:rPr>
        <w:t>PrEP</w:t>
      </w:r>
      <w:proofErr w:type="spellEnd"/>
      <w:r>
        <w:rPr>
          <w:rFonts w:ascii="Arial" w:eastAsia="Times New Roman" w:hAnsi="Arial" w:cs="Arial"/>
          <w:color w:val="222222"/>
          <w:sz w:val="19"/>
          <w:szCs w:val="19"/>
          <w:lang w:eastAsia="en-GB"/>
        </w:rPr>
        <w:t xml:space="preserve">: </w:t>
      </w:r>
    </w:p>
    <w:p w:rsidR="00D112CD" w:rsidRDefault="00D112CD" w:rsidP="00084326">
      <w:pPr>
        <w:shd w:val="clear" w:color="auto" w:fill="FFFFFF"/>
        <w:spacing w:after="0" w:line="240" w:lineRule="auto"/>
        <w:rPr>
          <w:rFonts w:ascii="Arial" w:eastAsia="Times New Roman" w:hAnsi="Arial" w:cs="Arial"/>
          <w:color w:val="222222"/>
          <w:sz w:val="19"/>
          <w:szCs w:val="19"/>
          <w:lang w:eastAsia="en-GB"/>
        </w:rPr>
      </w:pPr>
    </w:p>
    <w:p w:rsidR="00084326" w:rsidRPr="00084326" w:rsidRDefault="00D112CD" w:rsidP="00084326">
      <w:pPr>
        <w:shd w:val="clear" w:color="auto" w:fill="FFFFFF"/>
        <w:spacing w:after="0" w:line="240" w:lineRule="auto"/>
        <w:rPr>
          <w:rFonts w:ascii="Arial" w:eastAsia="Times New Roman" w:hAnsi="Arial" w:cs="Arial"/>
          <w:color w:val="222222"/>
          <w:sz w:val="19"/>
          <w:szCs w:val="19"/>
          <w:lang w:eastAsia="en-GB"/>
        </w:rPr>
      </w:pPr>
      <w:r>
        <w:rPr>
          <w:rFonts w:ascii="Arial" w:eastAsia="Times New Roman" w:hAnsi="Arial" w:cs="Arial"/>
          <w:color w:val="222222"/>
          <w:sz w:val="19"/>
          <w:szCs w:val="19"/>
          <w:lang w:eastAsia="en-GB"/>
        </w:rPr>
        <w:t xml:space="preserve">1. </w:t>
      </w:r>
      <w:r w:rsidR="00084326" w:rsidRPr="00084326">
        <w:rPr>
          <w:rFonts w:ascii="Arial" w:eastAsia="Times New Roman" w:hAnsi="Arial" w:cs="Arial"/>
          <w:color w:val="222222"/>
          <w:sz w:val="19"/>
          <w:szCs w:val="19"/>
          <w:lang w:eastAsia="en-GB"/>
        </w:rPr>
        <w:t xml:space="preserve">European AIDS Clinical Society </w:t>
      </w:r>
      <w:proofErr w:type="spellStart"/>
      <w:r w:rsidR="00084326" w:rsidRPr="00084326">
        <w:rPr>
          <w:rFonts w:ascii="Arial" w:eastAsia="Times New Roman" w:hAnsi="Arial" w:cs="Arial"/>
          <w:color w:val="222222"/>
          <w:sz w:val="19"/>
          <w:szCs w:val="19"/>
          <w:lang w:eastAsia="en-GB"/>
        </w:rPr>
        <w:t>PrEP</w:t>
      </w:r>
      <w:proofErr w:type="spellEnd"/>
      <w:r w:rsidR="00084326" w:rsidRPr="00084326">
        <w:rPr>
          <w:rFonts w:ascii="Arial" w:eastAsia="Times New Roman" w:hAnsi="Arial" w:cs="Arial"/>
          <w:color w:val="222222"/>
          <w:sz w:val="19"/>
          <w:szCs w:val="19"/>
          <w:lang w:eastAsia="en-GB"/>
        </w:rPr>
        <w:t xml:space="preserve"> Guidelines </w:t>
      </w:r>
      <w:r>
        <w:rPr>
          <w:rFonts w:ascii="Arial" w:eastAsia="Times New Roman" w:hAnsi="Arial" w:cs="Arial"/>
          <w:color w:val="222222"/>
          <w:sz w:val="19"/>
          <w:szCs w:val="19"/>
          <w:lang w:eastAsia="en-GB"/>
        </w:rPr>
        <w:t xml:space="preserve">that recommends on-demand </w:t>
      </w:r>
      <w:proofErr w:type="spellStart"/>
      <w:proofErr w:type="gramStart"/>
      <w:r>
        <w:rPr>
          <w:rFonts w:ascii="Arial" w:eastAsia="Times New Roman" w:hAnsi="Arial" w:cs="Arial"/>
          <w:color w:val="222222"/>
          <w:sz w:val="19"/>
          <w:szCs w:val="19"/>
          <w:lang w:eastAsia="en-GB"/>
        </w:rPr>
        <w:t>PrEP</w:t>
      </w:r>
      <w:proofErr w:type="gramEnd"/>
      <w:r w:rsidR="00084326" w:rsidRPr="00084326">
        <w:rPr>
          <w:rFonts w:ascii="Arial" w:eastAsia="Times New Roman" w:hAnsi="Arial" w:cs="Arial"/>
          <w:color w:val="222222"/>
          <w:sz w:val="19"/>
          <w:szCs w:val="19"/>
          <w:lang w:eastAsia="en-GB"/>
        </w:rPr>
        <w:t>.</w:t>
      </w:r>
      <w:proofErr w:type="spellEnd"/>
      <w:r w:rsidR="00084326" w:rsidRPr="00084326">
        <w:rPr>
          <w:rFonts w:ascii="Arial" w:eastAsia="Times New Roman" w:hAnsi="Arial" w:cs="Arial"/>
          <w:color w:val="222222"/>
          <w:sz w:val="19"/>
          <w:szCs w:val="19"/>
          <w:lang w:eastAsia="en-GB"/>
        </w:rPr>
        <w:t> </w:t>
      </w:r>
    </w:p>
    <w:p w:rsidR="00084326" w:rsidRPr="00084326" w:rsidRDefault="00084326" w:rsidP="00084326">
      <w:pPr>
        <w:shd w:val="clear" w:color="auto" w:fill="FFFFFF"/>
        <w:spacing w:after="0" w:line="240" w:lineRule="auto"/>
        <w:rPr>
          <w:rFonts w:ascii="Arial" w:eastAsia="Times New Roman" w:hAnsi="Arial" w:cs="Arial"/>
          <w:color w:val="222222"/>
          <w:sz w:val="19"/>
          <w:szCs w:val="19"/>
          <w:lang w:eastAsia="en-GB"/>
        </w:rPr>
      </w:pPr>
      <w:r w:rsidRPr="00084326">
        <w:rPr>
          <w:rFonts w:ascii="Arial" w:eastAsia="Times New Roman" w:hAnsi="Arial" w:cs="Arial"/>
          <w:color w:val="222222"/>
          <w:sz w:val="19"/>
          <w:szCs w:val="19"/>
          <w:lang w:eastAsia="en-GB"/>
        </w:rPr>
        <w:t xml:space="preserve">2. </w:t>
      </w:r>
      <w:r w:rsidR="00D112CD">
        <w:rPr>
          <w:rFonts w:ascii="Arial" w:eastAsia="Times New Roman" w:hAnsi="Arial" w:cs="Arial"/>
          <w:color w:val="222222"/>
          <w:sz w:val="19"/>
          <w:szCs w:val="19"/>
          <w:lang w:eastAsia="en-GB"/>
        </w:rPr>
        <w:t xml:space="preserve">Clinical trials conducted in France and Canada </w:t>
      </w:r>
      <w:proofErr w:type="spellStart"/>
      <w:r w:rsidRPr="00084326">
        <w:rPr>
          <w:rFonts w:ascii="Arial" w:eastAsia="Times New Roman" w:hAnsi="Arial" w:cs="Arial"/>
          <w:color w:val="222222"/>
          <w:sz w:val="19"/>
          <w:szCs w:val="19"/>
          <w:lang w:eastAsia="en-GB"/>
        </w:rPr>
        <w:t>Ipergay</w:t>
      </w:r>
      <w:proofErr w:type="spellEnd"/>
      <w:r w:rsidRPr="00084326">
        <w:rPr>
          <w:rFonts w:ascii="Arial" w:eastAsia="Times New Roman" w:hAnsi="Arial" w:cs="Arial"/>
          <w:color w:val="222222"/>
          <w:sz w:val="19"/>
          <w:szCs w:val="19"/>
          <w:lang w:eastAsia="en-GB"/>
        </w:rPr>
        <w:t xml:space="preserve">, </w:t>
      </w:r>
      <w:r w:rsidR="00D112CD">
        <w:rPr>
          <w:rFonts w:ascii="Arial" w:eastAsia="Times New Roman" w:hAnsi="Arial" w:cs="Arial"/>
          <w:color w:val="222222"/>
          <w:sz w:val="19"/>
          <w:szCs w:val="19"/>
          <w:lang w:eastAsia="en-GB"/>
        </w:rPr>
        <w:t xml:space="preserve">with 86% efficacy </w:t>
      </w:r>
      <w:hyperlink r:id="rId6" w:tgtFrame="_blank" w:history="1">
        <w:r w:rsidRPr="00084326">
          <w:rPr>
            <w:rFonts w:ascii="Arial" w:eastAsia="Times New Roman" w:hAnsi="Arial" w:cs="Arial"/>
            <w:color w:val="1155CC"/>
            <w:sz w:val="19"/>
            <w:szCs w:val="19"/>
            <w:u w:val="single"/>
            <w:lang w:eastAsia="en-GB"/>
          </w:rPr>
          <w:t>https://www.avac.org/trial/ipergay</w:t>
        </w:r>
      </w:hyperlink>
      <w:r w:rsidRPr="00084326">
        <w:rPr>
          <w:rFonts w:ascii="Arial" w:eastAsia="Times New Roman" w:hAnsi="Arial" w:cs="Arial"/>
          <w:color w:val="222222"/>
          <w:sz w:val="19"/>
          <w:szCs w:val="19"/>
          <w:lang w:eastAsia="en-GB"/>
        </w:rPr>
        <w:t>  </w:t>
      </w:r>
    </w:p>
    <w:p w:rsidR="00084326" w:rsidRPr="00084326" w:rsidRDefault="0054318E" w:rsidP="00084326">
      <w:pPr>
        <w:shd w:val="clear" w:color="auto" w:fill="FFFFFF"/>
        <w:spacing w:after="0" w:line="240" w:lineRule="auto"/>
        <w:rPr>
          <w:rFonts w:ascii="Arial" w:eastAsia="Times New Roman" w:hAnsi="Arial" w:cs="Arial"/>
          <w:color w:val="222222"/>
          <w:sz w:val="19"/>
          <w:szCs w:val="19"/>
          <w:lang w:eastAsia="en-GB"/>
        </w:rPr>
      </w:pPr>
      <w:hyperlink r:id="rId7" w:tgtFrame="_blank" w:history="1">
        <w:r w:rsidR="00084326" w:rsidRPr="00084326">
          <w:rPr>
            <w:rFonts w:ascii="Arial" w:eastAsia="Times New Roman" w:hAnsi="Arial" w:cs="Arial"/>
            <w:color w:val="1155CC"/>
            <w:sz w:val="19"/>
            <w:szCs w:val="19"/>
            <w:u w:val="single"/>
            <w:lang w:eastAsia="en-GB"/>
          </w:rPr>
          <w:t>http://www.bmj.com/content/358/bmj.j3619/rapid-responses</w:t>
        </w:r>
      </w:hyperlink>
      <w:r w:rsidR="00084326" w:rsidRPr="00084326">
        <w:rPr>
          <w:rFonts w:ascii="Arial" w:eastAsia="Times New Roman" w:hAnsi="Arial" w:cs="Arial"/>
          <w:color w:val="222222"/>
          <w:sz w:val="19"/>
          <w:szCs w:val="19"/>
          <w:lang w:eastAsia="en-GB"/>
        </w:rPr>
        <w:t> </w:t>
      </w:r>
    </w:p>
    <w:p w:rsidR="00084326" w:rsidRPr="00084326" w:rsidRDefault="0054318E" w:rsidP="00084326">
      <w:pPr>
        <w:shd w:val="clear" w:color="auto" w:fill="FFFFFF"/>
        <w:spacing w:after="0" w:line="240" w:lineRule="auto"/>
        <w:rPr>
          <w:rFonts w:ascii="Arial" w:eastAsia="Times New Roman" w:hAnsi="Arial" w:cs="Arial"/>
          <w:color w:val="222222"/>
          <w:sz w:val="19"/>
          <w:szCs w:val="19"/>
          <w:lang w:eastAsia="en-GB"/>
        </w:rPr>
      </w:pPr>
      <w:hyperlink r:id="rId8" w:tgtFrame="_blank" w:history="1">
        <w:r w:rsidR="00084326" w:rsidRPr="00084326">
          <w:rPr>
            <w:rFonts w:ascii="Arial" w:eastAsia="Times New Roman" w:hAnsi="Arial" w:cs="Arial"/>
            <w:color w:val="1155CC"/>
            <w:sz w:val="19"/>
            <w:szCs w:val="19"/>
            <w:u w:val="single"/>
            <w:lang w:eastAsia="en-GB"/>
          </w:rPr>
          <w:t>https://www.ncbi.nlm.nih.gov/pmc/articles/PMC5095697/</w:t>
        </w:r>
      </w:hyperlink>
      <w:r w:rsidR="00084326" w:rsidRPr="00084326">
        <w:rPr>
          <w:rFonts w:ascii="Arial" w:eastAsia="Times New Roman" w:hAnsi="Arial" w:cs="Arial"/>
          <w:color w:val="222222"/>
          <w:sz w:val="19"/>
          <w:szCs w:val="19"/>
          <w:lang w:eastAsia="en-GB"/>
        </w:rPr>
        <w:t> </w:t>
      </w:r>
    </w:p>
    <w:p w:rsidR="00084326" w:rsidRPr="00084326" w:rsidRDefault="0054318E" w:rsidP="00084326">
      <w:pPr>
        <w:shd w:val="clear" w:color="auto" w:fill="FFFFFF"/>
        <w:spacing w:after="0" w:line="240" w:lineRule="auto"/>
        <w:rPr>
          <w:rFonts w:ascii="Arial" w:eastAsia="Times New Roman" w:hAnsi="Arial" w:cs="Arial"/>
          <w:color w:val="222222"/>
          <w:sz w:val="19"/>
          <w:szCs w:val="19"/>
          <w:lang w:eastAsia="en-GB"/>
        </w:rPr>
      </w:pPr>
      <w:hyperlink r:id="rId9" w:tgtFrame="_blank" w:history="1">
        <w:r w:rsidR="00084326" w:rsidRPr="00084326">
          <w:rPr>
            <w:rFonts w:ascii="Arial" w:eastAsia="Times New Roman" w:hAnsi="Arial" w:cs="Arial"/>
            <w:color w:val="1155CC"/>
            <w:sz w:val="19"/>
            <w:szCs w:val="19"/>
            <w:u w:val="single"/>
            <w:lang w:eastAsia="en-GB"/>
          </w:rPr>
          <w:t>http://www.thelancet.com/journals/lanhiv/article/PIIS2352-3018(17)30088-7/abstract</w:t>
        </w:r>
      </w:hyperlink>
    </w:p>
    <w:p w:rsidR="00084326" w:rsidRPr="00084326" w:rsidRDefault="00084326" w:rsidP="00084326">
      <w:pPr>
        <w:shd w:val="clear" w:color="auto" w:fill="FFFFFF"/>
        <w:spacing w:after="0" w:line="240" w:lineRule="auto"/>
        <w:rPr>
          <w:rFonts w:ascii="Arial" w:eastAsia="Times New Roman" w:hAnsi="Arial" w:cs="Arial"/>
          <w:color w:val="222222"/>
          <w:sz w:val="19"/>
          <w:szCs w:val="19"/>
          <w:lang w:eastAsia="en-GB"/>
        </w:rPr>
      </w:pPr>
    </w:p>
    <w:p w:rsidR="00084326" w:rsidRDefault="00084326" w:rsidP="00084326">
      <w:pPr>
        <w:shd w:val="clear" w:color="auto" w:fill="FFFFFF"/>
        <w:spacing w:after="0" w:line="240" w:lineRule="auto"/>
        <w:rPr>
          <w:rFonts w:ascii="Arial" w:eastAsia="Times New Roman" w:hAnsi="Arial" w:cs="Arial"/>
          <w:color w:val="222222"/>
          <w:sz w:val="19"/>
          <w:szCs w:val="19"/>
          <w:lang w:eastAsia="en-GB"/>
        </w:rPr>
      </w:pPr>
      <w:r w:rsidRPr="00084326">
        <w:rPr>
          <w:rFonts w:ascii="Arial" w:eastAsia="Times New Roman" w:hAnsi="Arial" w:cs="Arial"/>
          <w:color w:val="222222"/>
          <w:sz w:val="19"/>
          <w:szCs w:val="19"/>
          <w:lang w:eastAsia="en-GB"/>
        </w:rPr>
        <w:t xml:space="preserve">3. </w:t>
      </w:r>
      <w:r w:rsidR="002F3948">
        <w:rPr>
          <w:rFonts w:ascii="Arial" w:eastAsia="Times New Roman" w:hAnsi="Arial" w:cs="Arial"/>
          <w:color w:val="222222"/>
          <w:sz w:val="19"/>
          <w:szCs w:val="19"/>
          <w:lang w:eastAsia="en-GB"/>
        </w:rPr>
        <w:t xml:space="preserve">On-demand </w:t>
      </w:r>
      <w:proofErr w:type="spellStart"/>
      <w:r w:rsidR="002F3948">
        <w:rPr>
          <w:rFonts w:ascii="Arial" w:eastAsia="Times New Roman" w:hAnsi="Arial" w:cs="Arial"/>
          <w:color w:val="222222"/>
          <w:sz w:val="19"/>
          <w:szCs w:val="19"/>
          <w:lang w:eastAsia="en-GB"/>
        </w:rPr>
        <w:t>PrEP</w:t>
      </w:r>
      <w:proofErr w:type="spellEnd"/>
      <w:r w:rsidR="002F3948">
        <w:rPr>
          <w:rFonts w:ascii="Arial" w:eastAsia="Times New Roman" w:hAnsi="Arial" w:cs="Arial"/>
          <w:color w:val="222222"/>
          <w:sz w:val="19"/>
          <w:szCs w:val="19"/>
          <w:lang w:eastAsia="en-GB"/>
        </w:rPr>
        <w:t xml:space="preserve"> is used in France, Canada, England, below is a detailed guide for this approach. </w:t>
      </w:r>
      <w:hyperlink r:id="rId10" w:tgtFrame="_blank" w:history="1">
        <w:r w:rsidRPr="00084326">
          <w:rPr>
            <w:rFonts w:ascii="Arial" w:eastAsia="Times New Roman" w:hAnsi="Arial" w:cs="Arial"/>
            <w:color w:val="1155CC"/>
            <w:sz w:val="19"/>
            <w:szCs w:val="19"/>
            <w:u w:val="single"/>
            <w:lang w:eastAsia="en-GB"/>
          </w:rPr>
          <w:t>https://www.iwantprepnow.co.uk/how-to-take-prep</w:t>
        </w:r>
      </w:hyperlink>
      <w:r w:rsidRPr="00084326">
        <w:rPr>
          <w:rFonts w:ascii="Arial" w:eastAsia="Times New Roman" w:hAnsi="Arial" w:cs="Arial"/>
          <w:color w:val="222222"/>
          <w:sz w:val="19"/>
          <w:szCs w:val="19"/>
          <w:lang w:eastAsia="en-GB"/>
        </w:rPr>
        <w:t> </w:t>
      </w:r>
    </w:p>
    <w:p w:rsidR="002F3948" w:rsidRDefault="002F3948" w:rsidP="00084326">
      <w:pPr>
        <w:shd w:val="clear" w:color="auto" w:fill="FFFFFF"/>
        <w:spacing w:after="0" w:line="240" w:lineRule="auto"/>
        <w:rPr>
          <w:rFonts w:ascii="Arial" w:eastAsia="Times New Roman" w:hAnsi="Arial" w:cs="Arial"/>
          <w:color w:val="222222"/>
          <w:sz w:val="19"/>
          <w:szCs w:val="19"/>
          <w:lang w:eastAsia="en-GB"/>
        </w:rPr>
      </w:pPr>
    </w:p>
    <w:sectPr w:rsidR="002F39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4574D"/>
    <w:multiLevelType w:val="hybridMultilevel"/>
    <w:tmpl w:val="8592A8CE"/>
    <w:lvl w:ilvl="0" w:tplc="D11232FE">
      <w:start w:val="3"/>
      <w:numFmt w:val="bullet"/>
      <w:lvlText w:val="-"/>
      <w:lvlJc w:val="left"/>
      <w:pPr>
        <w:ind w:left="720" w:hanging="360"/>
      </w:pPr>
      <w:rPr>
        <w:rFonts w:ascii="Sylfaen" w:eastAsiaTheme="minorHAnsi" w:hAnsi="Sylfaen" w:cstheme="minorBidi" w:hint="default"/>
        <w:b/>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F124BF"/>
    <w:multiLevelType w:val="hybridMultilevel"/>
    <w:tmpl w:val="0CEC23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A6223B"/>
    <w:multiLevelType w:val="hybridMultilevel"/>
    <w:tmpl w:val="CB9C95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D725700"/>
    <w:multiLevelType w:val="hybridMultilevel"/>
    <w:tmpl w:val="8144A458"/>
    <w:lvl w:ilvl="0" w:tplc="7BAC0956">
      <w:start w:val="1"/>
      <w:numFmt w:val="bullet"/>
      <w:lvlText w:val="-"/>
      <w:lvlJc w:val="left"/>
      <w:pPr>
        <w:ind w:left="720" w:hanging="360"/>
      </w:pPr>
      <w:rPr>
        <w:rFonts w:ascii="Sylfaen" w:eastAsia="Times New Roman"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FC0D84"/>
    <w:multiLevelType w:val="hybridMultilevel"/>
    <w:tmpl w:val="0DAE2212"/>
    <w:lvl w:ilvl="0" w:tplc="50122B1A">
      <w:start w:val="3"/>
      <w:numFmt w:val="bullet"/>
      <w:lvlText w:val="-"/>
      <w:lvlJc w:val="left"/>
      <w:pPr>
        <w:ind w:left="1080" w:hanging="360"/>
      </w:pPr>
      <w:rPr>
        <w:rFonts w:ascii="Sylfaen" w:eastAsiaTheme="minorHAnsi" w:hAnsi="Sylfaen"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6E"/>
    <w:rsid w:val="00033199"/>
    <w:rsid w:val="00053C48"/>
    <w:rsid w:val="00074326"/>
    <w:rsid w:val="00084326"/>
    <w:rsid w:val="000B6623"/>
    <w:rsid w:val="00142F9D"/>
    <w:rsid w:val="00187EBB"/>
    <w:rsid w:val="00207827"/>
    <w:rsid w:val="00252BC2"/>
    <w:rsid w:val="002C3051"/>
    <w:rsid w:val="002D4A68"/>
    <w:rsid w:val="002E5EAD"/>
    <w:rsid w:val="002F3948"/>
    <w:rsid w:val="00305664"/>
    <w:rsid w:val="00323191"/>
    <w:rsid w:val="00342318"/>
    <w:rsid w:val="003612F2"/>
    <w:rsid w:val="003D02A4"/>
    <w:rsid w:val="003D0F8D"/>
    <w:rsid w:val="003E2BD5"/>
    <w:rsid w:val="00410E16"/>
    <w:rsid w:val="0042056F"/>
    <w:rsid w:val="004830D9"/>
    <w:rsid w:val="004D1323"/>
    <w:rsid w:val="004F0EB0"/>
    <w:rsid w:val="00505C71"/>
    <w:rsid w:val="0054318E"/>
    <w:rsid w:val="0059188B"/>
    <w:rsid w:val="005C168F"/>
    <w:rsid w:val="005D0A8C"/>
    <w:rsid w:val="005E56E9"/>
    <w:rsid w:val="00601285"/>
    <w:rsid w:val="0060662F"/>
    <w:rsid w:val="006D452C"/>
    <w:rsid w:val="00716BD8"/>
    <w:rsid w:val="00726833"/>
    <w:rsid w:val="007302DA"/>
    <w:rsid w:val="007608AB"/>
    <w:rsid w:val="00786556"/>
    <w:rsid w:val="007937B6"/>
    <w:rsid w:val="007F102A"/>
    <w:rsid w:val="008278E4"/>
    <w:rsid w:val="008328A3"/>
    <w:rsid w:val="00842FFD"/>
    <w:rsid w:val="008513FE"/>
    <w:rsid w:val="008A4EAF"/>
    <w:rsid w:val="00931DDD"/>
    <w:rsid w:val="009554CA"/>
    <w:rsid w:val="009D1DC1"/>
    <w:rsid w:val="009E39D1"/>
    <w:rsid w:val="00A11102"/>
    <w:rsid w:val="00A11689"/>
    <w:rsid w:val="00A1386E"/>
    <w:rsid w:val="00A70FFF"/>
    <w:rsid w:val="00A730AF"/>
    <w:rsid w:val="00A739CE"/>
    <w:rsid w:val="00A74575"/>
    <w:rsid w:val="00AA27D8"/>
    <w:rsid w:val="00AA5CAA"/>
    <w:rsid w:val="00AD0629"/>
    <w:rsid w:val="00AE0A3F"/>
    <w:rsid w:val="00B031B6"/>
    <w:rsid w:val="00B22A27"/>
    <w:rsid w:val="00B73EA5"/>
    <w:rsid w:val="00B763F8"/>
    <w:rsid w:val="00BD10F2"/>
    <w:rsid w:val="00BE1B0A"/>
    <w:rsid w:val="00C2367A"/>
    <w:rsid w:val="00C300DB"/>
    <w:rsid w:val="00C56033"/>
    <w:rsid w:val="00C85349"/>
    <w:rsid w:val="00C97AC3"/>
    <w:rsid w:val="00CE68AC"/>
    <w:rsid w:val="00D021E8"/>
    <w:rsid w:val="00D112CD"/>
    <w:rsid w:val="00D15014"/>
    <w:rsid w:val="00D335CD"/>
    <w:rsid w:val="00D47EFC"/>
    <w:rsid w:val="00DA5FAD"/>
    <w:rsid w:val="00DB7DE0"/>
    <w:rsid w:val="00DF3F72"/>
    <w:rsid w:val="00E06B02"/>
    <w:rsid w:val="00E32E6B"/>
    <w:rsid w:val="00E40898"/>
    <w:rsid w:val="00E94B72"/>
    <w:rsid w:val="00EA14DD"/>
    <w:rsid w:val="00EE622F"/>
    <w:rsid w:val="00F76938"/>
    <w:rsid w:val="00F82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180D0-D1D4-4C14-BCE1-0F1E612F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0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386E"/>
    <w:pPr>
      <w:ind w:left="720"/>
      <w:contextualSpacing/>
    </w:pPr>
  </w:style>
  <w:style w:type="paragraph" w:styleId="BalloonText">
    <w:name w:val="Balloon Text"/>
    <w:basedOn w:val="Normal"/>
    <w:link w:val="BalloonTextChar"/>
    <w:uiPriority w:val="99"/>
    <w:semiHidden/>
    <w:unhideWhenUsed/>
    <w:rsid w:val="008A4E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EAF"/>
    <w:rPr>
      <w:rFonts w:ascii="Segoe UI" w:hAnsi="Segoe UI" w:cs="Segoe UI"/>
      <w:sz w:val="18"/>
      <w:szCs w:val="18"/>
    </w:rPr>
  </w:style>
  <w:style w:type="table" w:styleId="TableGrid">
    <w:name w:val="Table Grid"/>
    <w:basedOn w:val="TableNormal"/>
    <w:uiPriority w:val="39"/>
    <w:rsid w:val="0034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78592">
      <w:bodyDiv w:val="1"/>
      <w:marLeft w:val="0"/>
      <w:marRight w:val="0"/>
      <w:marTop w:val="0"/>
      <w:marBottom w:val="0"/>
      <w:divBdr>
        <w:top w:val="none" w:sz="0" w:space="0" w:color="auto"/>
        <w:left w:val="none" w:sz="0" w:space="0" w:color="auto"/>
        <w:bottom w:val="none" w:sz="0" w:space="0" w:color="auto"/>
        <w:right w:val="none" w:sz="0" w:space="0" w:color="auto"/>
      </w:divBdr>
      <w:divsChild>
        <w:div w:id="1905330460">
          <w:marLeft w:val="0"/>
          <w:marRight w:val="0"/>
          <w:marTop w:val="0"/>
          <w:marBottom w:val="0"/>
          <w:divBdr>
            <w:top w:val="none" w:sz="0" w:space="0" w:color="auto"/>
            <w:left w:val="none" w:sz="0" w:space="0" w:color="auto"/>
            <w:bottom w:val="none" w:sz="0" w:space="0" w:color="auto"/>
            <w:right w:val="none" w:sz="0" w:space="0" w:color="auto"/>
          </w:divBdr>
          <w:divsChild>
            <w:div w:id="1370259341">
              <w:marLeft w:val="0"/>
              <w:marRight w:val="0"/>
              <w:marTop w:val="0"/>
              <w:marBottom w:val="0"/>
              <w:divBdr>
                <w:top w:val="none" w:sz="0" w:space="0" w:color="auto"/>
                <w:left w:val="none" w:sz="0" w:space="0" w:color="auto"/>
                <w:bottom w:val="none" w:sz="0" w:space="0" w:color="auto"/>
                <w:right w:val="none" w:sz="0" w:space="0" w:color="auto"/>
              </w:divBdr>
              <w:divsChild>
                <w:div w:id="88626231">
                  <w:marLeft w:val="0"/>
                  <w:marRight w:val="0"/>
                  <w:marTop w:val="0"/>
                  <w:marBottom w:val="0"/>
                  <w:divBdr>
                    <w:top w:val="none" w:sz="0" w:space="0" w:color="auto"/>
                    <w:left w:val="none" w:sz="0" w:space="0" w:color="auto"/>
                    <w:bottom w:val="none" w:sz="0" w:space="0" w:color="auto"/>
                    <w:right w:val="none" w:sz="0" w:space="0" w:color="auto"/>
                  </w:divBdr>
                  <w:divsChild>
                    <w:div w:id="752971937">
                      <w:marLeft w:val="0"/>
                      <w:marRight w:val="0"/>
                      <w:marTop w:val="0"/>
                      <w:marBottom w:val="0"/>
                      <w:divBdr>
                        <w:top w:val="none" w:sz="0" w:space="0" w:color="auto"/>
                        <w:left w:val="none" w:sz="0" w:space="0" w:color="auto"/>
                        <w:bottom w:val="none" w:sz="0" w:space="0" w:color="auto"/>
                        <w:right w:val="none" w:sz="0" w:space="0" w:color="auto"/>
                      </w:divBdr>
                      <w:divsChild>
                        <w:div w:id="664473038">
                          <w:marLeft w:val="0"/>
                          <w:marRight w:val="0"/>
                          <w:marTop w:val="0"/>
                          <w:marBottom w:val="0"/>
                          <w:divBdr>
                            <w:top w:val="none" w:sz="0" w:space="0" w:color="auto"/>
                            <w:left w:val="none" w:sz="0" w:space="0" w:color="auto"/>
                            <w:bottom w:val="none" w:sz="0" w:space="0" w:color="auto"/>
                            <w:right w:val="none" w:sz="0" w:space="0" w:color="auto"/>
                          </w:divBdr>
                          <w:divsChild>
                            <w:div w:id="830678283">
                              <w:marLeft w:val="0"/>
                              <w:marRight w:val="0"/>
                              <w:marTop w:val="0"/>
                              <w:marBottom w:val="0"/>
                              <w:divBdr>
                                <w:top w:val="none" w:sz="0" w:space="0" w:color="auto"/>
                                <w:left w:val="none" w:sz="0" w:space="0" w:color="auto"/>
                                <w:bottom w:val="none" w:sz="0" w:space="0" w:color="auto"/>
                                <w:right w:val="none" w:sz="0" w:space="0" w:color="auto"/>
                              </w:divBdr>
                              <w:divsChild>
                                <w:div w:id="1326974464">
                                  <w:marLeft w:val="0"/>
                                  <w:marRight w:val="0"/>
                                  <w:marTop w:val="0"/>
                                  <w:marBottom w:val="0"/>
                                  <w:divBdr>
                                    <w:top w:val="none" w:sz="0" w:space="0" w:color="auto"/>
                                    <w:left w:val="none" w:sz="0" w:space="0" w:color="auto"/>
                                    <w:bottom w:val="none" w:sz="0" w:space="0" w:color="auto"/>
                                    <w:right w:val="none" w:sz="0" w:space="0" w:color="auto"/>
                                  </w:divBdr>
                                  <w:divsChild>
                                    <w:div w:id="1651907848">
                                      <w:marLeft w:val="0"/>
                                      <w:marRight w:val="0"/>
                                      <w:marTop w:val="0"/>
                                      <w:marBottom w:val="0"/>
                                      <w:divBdr>
                                        <w:top w:val="none" w:sz="0" w:space="0" w:color="auto"/>
                                        <w:left w:val="none" w:sz="0" w:space="0" w:color="auto"/>
                                        <w:bottom w:val="none" w:sz="0" w:space="0" w:color="auto"/>
                                        <w:right w:val="none" w:sz="0" w:space="0" w:color="auto"/>
                                      </w:divBdr>
                                      <w:divsChild>
                                        <w:div w:id="100689339">
                                          <w:marLeft w:val="0"/>
                                          <w:marRight w:val="0"/>
                                          <w:marTop w:val="0"/>
                                          <w:marBottom w:val="0"/>
                                          <w:divBdr>
                                            <w:top w:val="none" w:sz="0" w:space="0" w:color="auto"/>
                                            <w:left w:val="none" w:sz="0" w:space="0" w:color="auto"/>
                                            <w:bottom w:val="none" w:sz="0" w:space="0" w:color="auto"/>
                                            <w:right w:val="none" w:sz="0" w:space="0" w:color="auto"/>
                                          </w:divBdr>
                                          <w:divsChild>
                                            <w:div w:id="793522143">
                                              <w:marLeft w:val="0"/>
                                              <w:marRight w:val="0"/>
                                              <w:marTop w:val="0"/>
                                              <w:marBottom w:val="0"/>
                                              <w:divBdr>
                                                <w:top w:val="none" w:sz="0" w:space="0" w:color="auto"/>
                                                <w:left w:val="none" w:sz="0" w:space="0" w:color="auto"/>
                                                <w:bottom w:val="none" w:sz="0" w:space="0" w:color="auto"/>
                                                <w:right w:val="none" w:sz="0" w:space="0" w:color="auto"/>
                                              </w:divBdr>
                                              <w:divsChild>
                                                <w:div w:id="2032800570">
                                                  <w:marLeft w:val="0"/>
                                                  <w:marRight w:val="0"/>
                                                  <w:marTop w:val="0"/>
                                                  <w:marBottom w:val="0"/>
                                                  <w:divBdr>
                                                    <w:top w:val="none" w:sz="0" w:space="0" w:color="auto"/>
                                                    <w:left w:val="none" w:sz="0" w:space="0" w:color="auto"/>
                                                    <w:bottom w:val="none" w:sz="0" w:space="0" w:color="auto"/>
                                                    <w:right w:val="none" w:sz="0" w:space="0" w:color="auto"/>
                                                  </w:divBdr>
                                                  <w:divsChild>
                                                    <w:div w:id="1987783493">
                                                      <w:marLeft w:val="0"/>
                                                      <w:marRight w:val="0"/>
                                                      <w:marTop w:val="0"/>
                                                      <w:marBottom w:val="0"/>
                                                      <w:divBdr>
                                                        <w:top w:val="none" w:sz="0" w:space="0" w:color="auto"/>
                                                        <w:left w:val="none" w:sz="0" w:space="0" w:color="auto"/>
                                                        <w:bottom w:val="none" w:sz="0" w:space="0" w:color="auto"/>
                                                        <w:right w:val="none" w:sz="0" w:space="0" w:color="auto"/>
                                                      </w:divBdr>
                                                      <w:divsChild>
                                                        <w:div w:id="29749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3765631">
      <w:bodyDiv w:val="1"/>
      <w:marLeft w:val="0"/>
      <w:marRight w:val="0"/>
      <w:marTop w:val="0"/>
      <w:marBottom w:val="0"/>
      <w:divBdr>
        <w:top w:val="none" w:sz="0" w:space="0" w:color="auto"/>
        <w:left w:val="none" w:sz="0" w:space="0" w:color="auto"/>
        <w:bottom w:val="none" w:sz="0" w:space="0" w:color="auto"/>
        <w:right w:val="none" w:sz="0" w:space="0" w:color="auto"/>
      </w:divBdr>
      <w:divsChild>
        <w:div w:id="516847867">
          <w:marLeft w:val="0"/>
          <w:marRight w:val="0"/>
          <w:marTop w:val="0"/>
          <w:marBottom w:val="0"/>
          <w:divBdr>
            <w:top w:val="none" w:sz="0" w:space="0" w:color="auto"/>
            <w:left w:val="none" w:sz="0" w:space="0" w:color="auto"/>
            <w:bottom w:val="none" w:sz="0" w:space="0" w:color="auto"/>
            <w:right w:val="none" w:sz="0" w:space="0" w:color="auto"/>
          </w:divBdr>
          <w:divsChild>
            <w:div w:id="850678907">
              <w:marLeft w:val="0"/>
              <w:marRight w:val="0"/>
              <w:marTop w:val="0"/>
              <w:marBottom w:val="0"/>
              <w:divBdr>
                <w:top w:val="none" w:sz="0" w:space="0" w:color="auto"/>
                <w:left w:val="none" w:sz="0" w:space="0" w:color="auto"/>
                <w:bottom w:val="none" w:sz="0" w:space="0" w:color="auto"/>
                <w:right w:val="none" w:sz="0" w:space="0" w:color="auto"/>
              </w:divBdr>
              <w:divsChild>
                <w:div w:id="398677209">
                  <w:marLeft w:val="0"/>
                  <w:marRight w:val="0"/>
                  <w:marTop w:val="0"/>
                  <w:marBottom w:val="0"/>
                  <w:divBdr>
                    <w:top w:val="none" w:sz="0" w:space="0" w:color="auto"/>
                    <w:left w:val="none" w:sz="0" w:space="0" w:color="auto"/>
                    <w:bottom w:val="none" w:sz="0" w:space="0" w:color="auto"/>
                    <w:right w:val="none" w:sz="0" w:space="0" w:color="auto"/>
                  </w:divBdr>
                  <w:divsChild>
                    <w:div w:id="532886727">
                      <w:marLeft w:val="0"/>
                      <w:marRight w:val="0"/>
                      <w:marTop w:val="0"/>
                      <w:marBottom w:val="0"/>
                      <w:divBdr>
                        <w:top w:val="none" w:sz="0" w:space="0" w:color="auto"/>
                        <w:left w:val="none" w:sz="0" w:space="0" w:color="auto"/>
                        <w:bottom w:val="none" w:sz="0" w:space="0" w:color="auto"/>
                        <w:right w:val="none" w:sz="0" w:space="0" w:color="auto"/>
                      </w:divBdr>
                      <w:divsChild>
                        <w:div w:id="115948712">
                          <w:marLeft w:val="0"/>
                          <w:marRight w:val="0"/>
                          <w:marTop w:val="0"/>
                          <w:marBottom w:val="0"/>
                          <w:divBdr>
                            <w:top w:val="none" w:sz="0" w:space="0" w:color="auto"/>
                            <w:left w:val="none" w:sz="0" w:space="0" w:color="auto"/>
                            <w:bottom w:val="none" w:sz="0" w:space="0" w:color="auto"/>
                            <w:right w:val="none" w:sz="0" w:space="0" w:color="auto"/>
                          </w:divBdr>
                          <w:divsChild>
                            <w:div w:id="557321500">
                              <w:marLeft w:val="0"/>
                              <w:marRight w:val="0"/>
                              <w:marTop w:val="0"/>
                              <w:marBottom w:val="0"/>
                              <w:divBdr>
                                <w:top w:val="none" w:sz="0" w:space="0" w:color="auto"/>
                                <w:left w:val="none" w:sz="0" w:space="0" w:color="auto"/>
                                <w:bottom w:val="none" w:sz="0" w:space="0" w:color="auto"/>
                                <w:right w:val="none" w:sz="0" w:space="0" w:color="auto"/>
                              </w:divBdr>
                            </w:div>
                            <w:div w:id="210051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5954">
                      <w:marLeft w:val="0"/>
                      <w:marRight w:val="0"/>
                      <w:marTop w:val="0"/>
                      <w:marBottom w:val="0"/>
                      <w:divBdr>
                        <w:top w:val="none" w:sz="0" w:space="0" w:color="auto"/>
                        <w:left w:val="none" w:sz="0" w:space="0" w:color="auto"/>
                        <w:bottom w:val="none" w:sz="0" w:space="0" w:color="auto"/>
                        <w:right w:val="none" w:sz="0" w:space="0" w:color="auto"/>
                      </w:divBdr>
                    </w:div>
                    <w:div w:id="179308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158638">
          <w:marLeft w:val="0"/>
          <w:marRight w:val="0"/>
          <w:marTop w:val="0"/>
          <w:marBottom w:val="0"/>
          <w:divBdr>
            <w:top w:val="none" w:sz="0" w:space="0" w:color="auto"/>
            <w:left w:val="none" w:sz="0" w:space="0" w:color="auto"/>
            <w:bottom w:val="none" w:sz="0" w:space="0" w:color="auto"/>
            <w:right w:val="none" w:sz="0" w:space="0" w:color="auto"/>
          </w:divBdr>
        </w:div>
        <w:div w:id="361367850">
          <w:marLeft w:val="0"/>
          <w:marRight w:val="0"/>
          <w:marTop w:val="0"/>
          <w:marBottom w:val="0"/>
          <w:divBdr>
            <w:top w:val="none" w:sz="0" w:space="0" w:color="auto"/>
            <w:left w:val="none" w:sz="0" w:space="0" w:color="auto"/>
            <w:bottom w:val="none" w:sz="0" w:space="0" w:color="auto"/>
            <w:right w:val="none" w:sz="0" w:space="0" w:color="auto"/>
          </w:divBdr>
        </w:div>
      </w:divsChild>
    </w:div>
    <w:div w:id="839349845">
      <w:bodyDiv w:val="1"/>
      <w:marLeft w:val="0"/>
      <w:marRight w:val="0"/>
      <w:marTop w:val="0"/>
      <w:marBottom w:val="0"/>
      <w:divBdr>
        <w:top w:val="none" w:sz="0" w:space="0" w:color="auto"/>
        <w:left w:val="none" w:sz="0" w:space="0" w:color="auto"/>
        <w:bottom w:val="none" w:sz="0" w:space="0" w:color="auto"/>
        <w:right w:val="none" w:sz="0" w:space="0" w:color="auto"/>
      </w:divBdr>
      <w:divsChild>
        <w:div w:id="1856186136">
          <w:marLeft w:val="0"/>
          <w:marRight w:val="0"/>
          <w:marTop w:val="0"/>
          <w:marBottom w:val="0"/>
          <w:divBdr>
            <w:top w:val="none" w:sz="0" w:space="0" w:color="auto"/>
            <w:left w:val="none" w:sz="0" w:space="0" w:color="auto"/>
            <w:bottom w:val="none" w:sz="0" w:space="0" w:color="auto"/>
            <w:right w:val="none" w:sz="0" w:space="0" w:color="auto"/>
          </w:divBdr>
        </w:div>
        <w:div w:id="1360014403">
          <w:marLeft w:val="0"/>
          <w:marRight w:val="0"/>
          <w:marTop w:val="0"/>
          <w:marBottom w:val="0"/>
          <w:divBdr>
            <w:top w:val="none" w:sz="0" w:space="0" w:color="auto"/>
            <w:left w:val="none" w:sz="0" w:space="0" w:color="auto"/>
            <w:bottom w:val="none" w:sz="0" w:space="0" w:color="auto"/>
            <w:right w:val="none" w:sz="0" w:space="0" w:color="auto"/>
          </w:divBdr>
        </w:div>
        <w:div w:id="768083180">
          <w:marLeft w:val="0"/>
          <w:marRight w:val="0"/>
          <w:marTop w:val="0"/>
          <w:marBottom w:val="0"/>
          <w:divBdr>
            <w:top w:val="none" w:sz="0" w:space="0" w:color="auto"/>
            <w:left w:val="none" w:sz="0" w:space="0" w:color="auto"/>
            <w:bottom w:val="none" w:sz="0" w:space="0" w:color="auto"/>
            <w:right w:val="none" w:sz="0" w:space="0" w:color="auto"/>
          </w:divBdr>
        </w:div>
        <w:div w:id="1449398490">
          <w:marLeft w:val="0"/>
          <w:marRight w:val="0"/>
          <w:marTop w:val="0"/>
          <w:marBottom w:val="0"/>
          <w:divBdr>
            <w:top w:val="none" w:sz="0" w:space="0" w:color="auto"/>
            <w:left w:val="none" w:sz="0" w:space="0" w:color="auto"/>
            <w:bottom w:val="none" w:sz="0" w:space="0" w:color="auto"/>
            <w:right w:val="none" w:sz="0" w:space="0" w:color="auto"/>
          </w:divBdr>
        </w:div>
        <w:div w:id="95441874">
          <w:marLeft w:val="0"/>
          <w:marRight w:val="0"/>
          <w:marTop w:val="0"/>
          <w:marBottom w:val="0"/>
          <w:divBdr>
            <w:top w:val="none" w:sz="0" w:space="0" w:color="auto"/>
            <w:left w:val="none" w:sz="0" w:space="0" w:color="auto"/>
            <w:bottom w:val="none" w:sz="0" w:space="0" w:color="auto"/>
            <w:right w:val="none" w:sz="0" w:space="0" w:color="auto"/>
          </w:divBdr>
        </w:div>
        <w:div w:id="981734904">
          <w:marLeft w:val="0"/>
          <w:marRight w:val="0"/>
          <w:marTop w:val="0"/>
          <w:marBottom w:val="0"/>
          <w:divBdr>
            <w:top w:val="none" w:sz="0" w:space="0" w:color="auto"/>
            <w:left w:val="none" w:sz="0" w:space="0" w:color="auto"/>
            <w:bottom w:val="none" w:sz="0" w:space="0" w:color="auto"/>
            <w:right w:val="none" w:sz="0" w:space="0" w:color="auto"/>
          </w:divBdr>
        </w:div>
        <w:div w:id="1366103812">
          <w:marLeft w:val="0"/>
          <w:marRight w:val="0"/>
          <w:marTop w:val="0"/>
          <w:marBottom w:val="0"/>
          <w:divBdr>
            <w:top w:val="none" w:sz="0" w:space="0" w:color="auto"/>
            <w:left w:val="none" w:sz="0" w:space="0" w:color="auto"/>
            <w:bottom w:val="none" w:sz="0" w:space="0" w:color="auto"/>
            <w:right w:val="none" w:sz="0" w:space="0" w:color="auto"/>
          </w:divBdr>
        </w:div>
        <w:div w:id="2060670602">
          <w:marLeft w:val="0"/>
          <w:marRight w:val="0"/>
          <w:marTop w:val="0"/>
          <w:marBottom w:val="0"/>
          <w:divBdr>
            <w:top w:val="none" w:sz="0" w:space="0" w:color="auto"/>
            <w:left w:val="none" w:sz="0" w:space="0" w:color="auto"/>
            <w:bottom w:val="none" w:sz="0" w:space="0" w:color="auto"/>
            <w:right w:val="none" w:sz="0" w:space="0" w:color="auto"/>
          </w:divBdr>
        </w:div>
        <w:div w:id="226769931">
          <w:marLeft w:val="0"/>
          <w:marRight w:val="0"/>
          <w:marTop w:val="0"/>
          <w:marBottom w:val="0"/>
          <w:divBdr>
            <w:top w:val="none" w:sz="0" w:space="0" w:color="auto"/>
            <w:left w:val="none" w:sz="0" w:space="0" w:color="auto"/>
            <w:bottom w:val="none" w:sz="0" w:space="0" w:color="auto"/>
            <w:right w:val="none" w:sz="0" w:space="0" w:color="auto"/>
          </w:divBdr>
        </w:div>
        <w:div w:id="433138238">
          <w:marLeft w:val="0"/>
          <w:marRight w:val="0"/>
          <w:marTop w:val="0"/>
          <w:marBottom w:val="0"/>
          <w:divBdr>
            <w:top w:val="none" w:sz="0" w:space="0" w:color="auto"/>
            <w:left w:val="none" w:sz="0" w:space="0" w:color="auto"/>
            <w:bottom w:val="none" w:sz="0" w:space="0" w:color="auto"/>
            <w:right w:val="none" w:sz="0" w:space="0" w:color="auto"/>
          </w:divBdr>
        </w:div>
      </w:divsChild>
    </w:div>
    <w:div w:id="1234589197">
      <w:bodyDiv w:val="1"/>
      <w:marLeft w:val="0"/>
      <w:marRight w:val="0"/>
      <w:marTop w:val="0"/>
      <w:marBottom w:val="0"/>
      <w:divBdr>
        <w:top w:val="none" w:sz="0" w:space="0" w:color="auto"/>
        <w:left w:val="none" w:sz="0" w:space="0" w:color="auto"/>
        <w:bottom w:val="none" w:sz="0" w:space="0" w:color="auto"/>
        <w:right w:val="none" w:sz="0" w:space="0" w:color="auto"/>
      </w:divBdr>
      <w:divsChild>
        <w:div w:id="1166632493">
          <w:marLeft w:val="0"/>
          <w:marRight w:val="0"/>
          <w:marTop w:val="0"/>
          <w:marBottom w:val="0"/>
          <w:divBdr>
            <w:top w:val="none" w:sz="0" w:space="0" w:color="auto"/>
            <w:left w:val="none" w:sz="0" w:space="0" w:color="auto"/>
            <w:bottom w:val="none" w:sz="0" w:space="0" w:color="auto"/>
            <w:right w:val="none" w:sz="0" w:space="0" w:color="auto"/>
          </w:divBdr>
        </w:div>
        <w:div w:id="2022270813">
          <w:marLeft w:val="0"/>
          <w:marRight w:val="0"/>
          <w:marTop w:val="0"/>
          <w:marBottom w:val="0"/>
          <w:divBdr>
            <w:top w:val="none" w:sz="0" w:space="0" w:color="auto"/>
            <w:left w:val="none" w:sz="0" w:space="0" w:color="auto"/>
            <w:bottom w:val="none" w:sz="0" w:space="0" w:color="auto"/>
            <w:right w:val="none" w:sz="0" w:space="0" w:color="auto"/>
          </w:divBdr>
        </w:div>
        <w:div w:id="1923754299">
          <w:marLeft w:val="0"/>
          <w:marRight w:val="0"/>
          <w:marTop w:val="0"/>
          <w:marBottom w:val="0"/>
          <w:divBdr>
            <w:top w:val="none" w:sz="0" w:space="0" w:color="auto"/>
            <w:left w:val="none" w:sz="0" w:space="0" w:color="auto"/>
            <w:bottom w:val="none" w:sz="0" w:space="0" w:color="auto"/>
            <w:right w:val="none" w:sz="0" w:space="0" w:color="auto"/>
          </w:divBdr>
        </w:div>
        <w:div w:id="1604418172">
          <w:marLeft w:val="0"/>
          <w:marRight w:val="0"/>
          <w:marTop w:val="0"/>
          <w:marBottom w:val="0"/>
          <w:divBdr>
            <w:top w:val="none" w:sz="0" w:space="0" w:color="auto"/>
            <w:left w:val="none" w:sz="0" w:space="0" w:color="auto"/>
            <w:bottom w:val="none" w:sz="0" w:space="0" w:color="auto"/>
            <w:right w:val="none" w:sz="0" w:space="0" w:color="auto"/>
          </w:divBdr>
        </w:div>
        <w:div w:id="495725937">
          <w:marLeft w:val="0"/>
          <w:marRight w:val="0"/>
          <w:marTop w:val="0"/>
          <w:marBottom w:val="0"/>
          <w:divBdr>
            <w:top w:val="none" w:sz="0" w:space="0" w:color="auto"/>
            <w:left w:val="none" w:sz="0" w:space="0" w:color="auto"/>
            <w:bottom w:val="none" w:sz="0" w:space="0" w:color="auto"/>
            <w:right w:val="none" w:sz="0" w:space="0" w:color="auto"/>
          </w:divBdr>
        </w:div>
        <w:div w:id="1431123755">
          <w:marLeft w:val="0"/>
          <w:marRight w:val="0"/>
          <w:marTop w:val="0"/>
          <w:marBottom w:val="0"/>
          <w:divBdr>
            <w:top w:val="none" w:sz="0" w:space="0" w:color="auto"/>
            <w:left w:val="none" w:sz="0" w:space="0" w:color="auto"/>
            <w:bottom w:val="none" w:sz="0" w:space="0" w:color="auto"/>
            <w:right w:val="none" w:sz="0" w:space="0" w:color="auto"/>
          </w:divBdr>
        </w:div>
        <w:div w:id="2094818821">
          <w:marLeft w:val="0"/>
          <w:marRight w:val="0"/>
          <w:marTop w:val="0"/>
          <w:marBottom w:val="0"/>
          <w:divBdr>
            <w:top w:val="none" w:sz="0" w:space="0" w:color="auto"/>
            <w:left w:val="none" w:sz="0" w:space="0" w:color="auto"/>
            <w:bottom w:val="none" w:sz="0" w:space="0" w:color="auto"/>
            <w:right w:val="none" w:sz="0" w:space="0" w:color="auto"/>
          </w:divBdr>
        </w:div>
        <w:div w:id="1821383937">
          <w:marLeft w:val="0"/>
          <w:marRight w:val="0"/>
          <w:marTop w:val="0"/>
          <w:marBottom w:val="0"/>
          <w:divBdr>
            <w:top w:val="none" w:sz="0" w:space="0" w:color="auto"/>
            <w:left w:val="none" w:sz="0" w:space="0" w:color="auto"/>
            <w:bottom w:val="none" w:sz="0" w:space="0" w:color="auto"/>
            <w:right w:val="none" w:sz="0" w:space="0" w:color="auto"/>
          </w:divBdr>
        </w:div>
        <w:div w:id="822357721">
          <w:marLeft w:val="0"/>
          <w:marRight w:val="0"/>
          <w:marTop w:val="0"/>
          <w:marBottom w:val="0"/>
          <w:divBdr>
            <w:top w:val="none" w:sz="0" w:space="0" w:color="auto"/>
            <w:left w:val="none" w:sz="0" w:space="0" w:color="auto"/>
            <w:bottom w:val="none" w:sz="0" w:space="0" w:color="auto"/>
            <w:right w:val="none" w:sz="0" w:space="0" w:color="auto"/>
          </w:divBdr>
        </w:div>
        <w:div w:id="1115445840">
          <w:marLeft w:val="0"/>
          <w:marRight w:val="0"/>
          <w:marTop w:val="0"/>
          <w:marBottom w:val="0"/>
          <w:divBdr>
            <w:top w:val="none" w:sz="0" w:space="0" w:color="auto"/>
            <w:left w:val="none" w:sz="0" w:space="0" w:color="auto"/>
            <w:bottom w:val="none" w:sz="0" w:space="0" w:color="auto"/>
            <w:right w:val="none" w:sz="0" w:space="0" w:color="auto"/>
          </w:divBdr>
        </w:div>
      </w:divsChild>
    </w:div>
    <w:div w:id="180743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5095697/" TargetMode="External"/><Relationship Id="rId3" Type="http://schemas.openxmlformats.org/officeDocument/2006/relationships/styles" Target="styles.xml"/><Relationship Id="rId7" Type="http://schemas.openxmlformats.org/officeDocument/2006/relationships/hyperlink" Target="http://www.bmj.com/content/358/bmj.j3619/rapid-respons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vac.org/trial/ipergay"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wantprepnow.co.uk/how-to-take-prep" TargetMode="External"/><Relationship Id="rId4" Type="http://schemas.openxmlformats.org/officeDocument/2006/relationships/settings" Target="settings.xml"/><Relationship Id="rId9" Type="http://schemas.openxmlformats.org/officeDocument/2006/relationships/hyperlink" Target="http://www.thelancet.com/journals/lanhiv/article/PIIS2352-3018(17)30088-7/abstr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9D60B-8900-486B-B96B-2F969616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Stvilia</dc:creator>
  <cp:keywords/>
  <dc:description/>
  <cp:lastModifiedBy>Ketevan Stvilia</cp:lastModifiedBy>
  <cp:revision>3</cp:revision>
  <cp:lastPrinted>2018-02-13T09:46:00Z</cp:lastPrinted>
  <dcterms:created xsi:type="dcterms:W3CDTF">2018-06-14T07:37:00Z</dcterms:created>
  <dcterms:modified xsi:type="dcterms:W3CDTF">2018-06-14T07:39:00Z</dcterms:modified>
</cp:coreProperties>
</file>